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0869165" w:rsidRDefault="50869165" w14:paraId="6D043E10" w14:textId="6853BF8B">
      <w:r>
        <w:t xml:space="preserve">Hr Jürgen Ligi </w:t>
      </w:r>
      <w:r>
        <w:br/>
      </w:r>
      <w:r>
        <w:t>Rahandusminister</w:t>
      </w:r>
      <w:r>
        <w:br/>
      </w:r>
      <w:r>
        <w:t xml:space="preserve">Rahandusministeerium </w:t>
      </w:r>
    </w:p>
    <w:p w:rsidR="50869165" w:rsidP="607BA9AD" w:rsidRDefault="50869165" w14:paraId="564FC181" w14:textId="75C66F4F">
      <w:r>
        <w:t xml:space="preserve"> </w:t>
      </w:r>
    </w:p>
    <w:p w:rsidR="50869165" w:rsidP="607BA9AD" w:rsidRDefault="50869165" w14:paraId="5DAAB1B6" w14:textId="560F2BF1">
      <w:r>
        <w:t>E-kiri: info@fin.ee</w:t>
      </w:r>
    </w:p>
    <w:p w:rsidR="607BA9AD" w:rsidP="607BA9AD" w:rsidRDefault="607BA9AD" w14:paraId="0A2D7501" w14:textId="6445E806">
      <w:pPr>
        <w:rPr>
          <w:b/>
          <w:bCs/>
        </w:rPr>
      </w:pPr>
    </w:p>
    <w:p w:rsidR="0053457F" w:rsidP="05DC9FD6" w:rsidRDefault="46B244D6" w14:paraId="7749BB2D" w14:textId="4507C714">
      <w:pPr>
        <w:rPr>
          <w:b/>
          <w:bCs/>
        </w:rPr>
      </w:pPr>
      <w:r w:rsidRPr="05DC9FD6">
        <w:rPr>
          <w:b/>
          <w:bCs/>
        </w:rPr>
        <w:t>Ettepanek riigihangete seaduse muutmiseks</w:t>
      </w:r>
    </w:p>
    <w:p w:rsidR="0053457F" w:rsidP="05DC9FD6" w:rsidRDefault="5BF6578E" w14:paraId="0A702DE8" w14:textId="0E881181">
      <w:pPr>
        <w:jc w:val="both"/>
      </w:pPr>
      <w:r>
        <w:t>Valitsuse üheks keskseks eesmärgiks on muuta Eesti riik tõhusamaks ja uuendusmeelsemaks, vähendades bürokraatiat ning lihtsustades haldusprotsesse, et toetada majanduskasvu ja ettevõtluskeskkonna arengut. Seetõttu t</w:t>
      </w:r>
      <w:r w:rsidR="46B244D6">
        <w:t xml:space="preserve">eeme </w:t>
      </w:r>
      <w:r w:rsidR="6B7C91A7">
        <w:t xml:space="preserve">riigihangete seaduse </w:t>
      </w:r>
      <w:r w:rsidR="7314CD67">
        <w:t>lihtsusta</w:t>
      </w:r>
      <w:r w:rsidR="6B7C91A7">
        <w:t xml:space="preserve">mise raames </w:t>
      </w:r>
      <w:r w:rsidR="46B244D6">
        <w:t xml:space="preserve">ettepaneku kohaldada võrgustikusektori hankijatele Euroopa Parlamendi ja nõukogu direktiivi 2014/25/EL nõudeid alates rahvusvahelisest piirmäärast, </w:t>
      </w:r>
      <w:r w:rsidR="06933843">
        <w:t>järgides Riigihangete registri tähenduses nn väikehanke nõudeid</w:t>
      </w:r>
      <w:r w:rsidR="46B244D6">
        <w:t>. Meie hinnangul looks see õiglasema konkurentsikeskkonna, vähendaks bürokraatiat ning suurendaks riigi hallatavate ettevõtete paindlikkust ja kuluefektiivsust, säilitades samal ajal läbipaistvuse.</w:t>
      </w:r>
    </w:p>
    <w:p w:rsidR="0053457F" w:rsidP="05DC9FD6" w:rsidRDefault="46B244D6" w14:paraId="647A01BE" w14:textId="139AAB5E">
      <w:pPr>
        <w:rPr>
          <w:b/>
          <w:bCs/>
        </w:rPr>
      </w:pPr>
      <w:r w:rsidRPr="05DC9FD6">
        <w:rPr>
          <w:b/>
          <w:bCs/>
        </w:rPr>
        <w:t>Põhjendus ja kasud</w:t>
      </w:r>
    </w:p>
    <w:p w:rsidR="0053457F" w:rsidP="05DC9FD6" w:rsidRDefault="46B244D6" w14:paraId="6FB792AA" w14:textId="5126D77E">
      <w:pPr>
        <w:pStyle w:val="ListParagraph"/>
        <w:numPr>
          <w:ilvl w:val="0"/>
          <w:numId w:val="1"/>
        </w:numPr>
        <w:jc w:val="both"/>
      </w:pPr>
      <w:r>
        <w:t>Konkurentsivõime ja võrdsed tingimused</w:t>
      </w:r>
      <w:r w:rsidR="5A321E39">
        <w:t xml:space="preserve"> – a</w:t>
      </w:r>
      <w:r>
        <w:t>vatud turul tegutsevad ettevõtted ei ole kõik riigihangete seaduse subjektid. See loob ebavõrdse olukorra, kus osa turuosalisi peab järgima mahukaid hankeprotsesse, samas kui konkurendid saavad kiiresti ja paindlikult tegutseda.</w:t>
      </w:r>
    </w:p>
    <w:p w:rsidR="0053457F" w:rsidP="05DC9FD6" w:rsidRDefault="46B244D6" w14:paraId="5F9CE813" w14:textId="031B6991">
      <w:pPr>
        <w:pStyle w:val="ListParagraph"/>
        <w:numPr>
          <w:ilvl w:val="0"/>
          <w:numId w:val="1"/>
        </w:numPr>
        <w:jc w:val="both"/>
      </w:pPr>
      <w:r>
        <w:t>Kuluefektiivsus ja kiirus</w:t>
      </w:r>
      <w:r w:rsidR="6439FA02">
        <w:t xml:space="preserve"> – p</w:t>
      </w:r>
      <w:r>
        <w:t xml:space="preserve">aindlikumad protsessid võimaldavad kiiremini reageerida turumuutustele, sõlmida lepinguid läbirääkimiste teel ning vältida viivitusi, mis võivad põhjustada märkimisväärseid majanduslikke kahjusid. Hinnanguliselt võib regulatiivsete piirangute leevendamine tuua riigi hallatavatele ettevõtetele </w:t>
      </w:r>
      <w:r w:rsidR="069063A2">
        <w:t xml:space="preserve">üle saja </w:t>
      </w:r>
      <w:r>
        <w:t>miljoni euro ulatuses lisatulu ja kulude kokkuhoidu aastas.</w:t>
      </w:r>
    </w:p>
    <w:p w:rsidR="0053457F" w:rsidP="05DC9FD6" w:rsidRDefault="46B244D6" w14:paraId="4AE2B7A9" w14:textId="58CC221F">
      <w:pPr>
        <w:pStyle w:val="ListParagraph"/>
        <w:numPr>
          <w:ilvl w:val="0"/>
          <w:numId w:val="1"/>
        </w:numPr>
        <w:jc w:val="both"/>
      </w:pPr>
      <w:r>
        <w:t>Kriisivalmidus ja varustuskindlus</w:t>
      </w:r>
      <w:r w:rsidR="5A05B471">
        <w:t xml:space="preserve"> – v</w:t>
      </w:r>
      <w:r>
        <w:t>õrgustikusektori ettevõtted haldavad kriitilist taristut. Liigne bürokraatia võib piirata reageerimisvõimet kriisiolukordades, näiteks tormide, küberintsidentide või tarneahela katkestuste korral.</w:t>
      </w:r>
    </w:p>
    <w:p w:rsidR="0053457F" w:rsidP="05DC9FD6" w:rsidRDefault="46B244D6" w14:paraId="14EDE112" w14:textId="55752BDC">
      <w:pPr>
        <w:pStyle w:val="ListParagraph"/>
        <w:numPr>
          <w:ilvl w:val="0"/>
          <w:numId w:val="1"/>
        </w:numPr>
        <w:jc w:val="both"/>
      </w:pPr>
      <w:r>
        <w:t>Läbipaistvus säili</w:t>
      </w:r>
      <w:r w:rsidR="68E6C2C6">
        <w:t>b – k</w:t>
      </w:r>
      <w:r>
        <w:t>uigi väikehankeid ei pea seaduse järgi Riigihangete registris läbi viima, on turuosalised seda seni teinud vabatahtlikult, et tagada läbipaistvus. Registri kasutamine on turul levinud ja kasutajasõbralik, mistõttu on läbipaistvuse säilitamine võimalik ka paindlikuma regulatsiooni korral.</w:t>
      </w:r>
    </w:p>
    <w:p w:rsidR="0053457F" w:rsidP="05DC9FD6" w:rsidRDefault="0CE3F044" w14:paraId="167A081E" w14:textId="721BA1FA">
      <w:pPr>
        <w:pStyle w:val="ListParagraph"/>
        <w:numPr>
          <w:ilvl w:val="0"/>
          <w:numId w:val="1"/>
        </w:numPr>
        <w:jc w:val="both"/>
      </w:pPr>
      <w:r>
        <w:t xml:space="preserve">Rahvusvaheline praktika – mitmed ELi liikmesriigid, sealhulgas Soome, Taani, Holland, Luksemburg, Malta, Küpros, Sloveenia ja Iirimaa, on </w:t>
      </w:r>
      <w:r w:rsidR="6EFE0F4F">
        <w:t>kehtestanud</w:t>
      </w:r>
      <w:r>
        <w:t xml:space="preserve"> </w:t>
      </w:r>
      <w:r w:rsidR="27FF3AC5">
        <w:t xml:space="preserve">võrgustikusektori ettevõtetele </w:t>
      </w:r>
      <w:r>
        <w:t>piirmäärad, mis vastavad direktiivis toodud nõuetele. See on toonud kaasa positiivse mõju ärikeskkonnale ja majandusele laiemalt</w:t>
      </w:r>
      <w:r w:rsidR="2EB0CD4D">
        <w:t>.</w:t>
      </w:r>
    </w:p>
    <w:p w:rsidR="0053457F" w:rsidP="05DC9FD6" w:rsidRDefault="46B244D6" w14:paraId="2D83E01B" w14:textId="3018B0E9">
      <w:pPr>
        <w:pStyle w:val="ListParagraph"/>
        <w:numPr>
          <w:ilvl w:val="0"/>
          <w:numId w:val="1"/>
        </w:numPr>
        <w:jc w:val="both"/>
      </w:pPr>
      <w:r>
        <w:t>Riigi halduskoormuse vähendamine</w:t>
      </w:r>
      <w:r w:rsidR="6977D6F2">
        <w:t xml:space="preserve"> – k</w:t>
      </w:r>
      <w:r>
        <w:t>ui hankemenetlused muutuvad lihtsamaks, väheneb järelevalvekoormus ning riik saab keskenduda suuremate ja riskantsemate hangete kontrollile. See toetab valitsuse eesmärki muuta riik kiiremaks, tõhusamaks ja innovaatilisemaks.</w:t>
      </w:r>
    </w:p>
    <w:p w:rsidR="607BA9AD" w:rsidP="607BA9AD" w:rsidRDefault="607BA9AD" w14:paraId="412D605C" w14:textId="481241C9"/>
    <w:p w:rsidR="0053457F" w:rsidP="05DC9FD6" w:rsidRDefault="721CBD17" w14:paraId="2624474F" w14:textId="44A4B054">
      <w:r w:rsidRPr="607BA9AD">
        <w:rPr>
          <w:b/>
          <w:bCs/>
        </w:rPr>
        <w:t>Muudatuse</w:t>
      </w:r>
      <w:r w:rsidRPr="607BA9AD" w:rsidR="0A8272FE">
        <w:rPr>
          <w:b/>
          <w:bCs/>
        </w:rPr>
        <w:t>ttepanekud riigihangete seaduse tekstile:</w:t>
      </w:r>
    </w:p>
    <w:p w:rsidR="0053457F" w:rsidP="05DC9FD6" w:rsidRDefault="0A8272FE" w14:paraId="500A565F" w14:textId="495AB74F">
      <w:r>
        <w:t xml:space="preserve">1. </w:t>
      </w:r>
      <w:r w:rsidR="5EAB69B7">
        <w:t>Muuta r</w:t>
      </w:r>
      <w:r>
        <w:t xml:space="preserve">iigihangete seaduse §14 lõike 1 punktide 2 ja 3 teksti </w:t>
      </w:r>
      <w:r w:rsidR="06BA26C3">
        <w:t>järgmiselt</w:t>
      </w:r>
      <w:r>
        <w:t>:</w:t>
      </w:r>
    </w:p>
    <w:p w:rsidR="0053457F" w:rsidP="05DC9FD6" w:rsidRDefault="0A8272FE" w14:paraId="0D7F4B6C" w14:textId="0ACB0628">
      <w:r>
        <w:t>2)</w:t>
      </w:r>
      <w:r w:rsidR="56CFB3C9">
        <w:t xml:space="preserve"> </w:t>
      </w:r>
      <w:r>
        <w:t xml:space="preserve">ehitustööde hankelepingu, teenuste kontsessioonilepingu, kaitse- ja julgeolekuvaldkonna asjade või teenuste, välja arvatud lihtsustatud korras tellitavate teenuste hankelepingu korral 60 000 eurot.  </w:t>
      </w:r>
    </w:p>
    <w:p w:rsidR="0053457F" w:rsidP="05DC9FD6" w:rsidRDefault="0A8272FE" w14:paraId="35722612" w14:textId="09E08B33">
      <w:r>
        <w:t>3)</w:t>
      </w:r>
      <w:r w:rsidR="2F86E266">
        <w:t xml:space="preserve"> </w:t>
      </w:r>
      <w:r>
        <w:t>kaitse- ja julgeolekuvaldkonna ehitustööde hankelepingu korral 300 000 eurot.</w:t>
      </w:r>
    </w:p>
    <w:p w:rsidR="0053457F" w:rsidP="05DC9FD6" w:rsidRDefault="0A8272FE" w14:paraId="00293B8A" w14:textId="593199F2">
      <w:r w:rsidR="0A8272FE">
        <w:rPr/>
        <w:t xml:space="preserve">2. </w:t>
      </w:r>
      <w:r w:rsidR="4A6CA6CB">
        <w:rPr/>
        <w:t>T</w:t>
      </w:r>
      <w:r w:rsidR="0A8272FE">
        <w:rPr/>
        <w:t>unnistada kehtetuks § 145 teine lause „Käesoleva seaduse § 115 lõigetes 2–6 ning § 122 lõigetes 2, 3 ja 5–10 sätestatut kohaldatakse, kui ehitustööde hankelepingu eeldatav maksumus on vähemalt võrdne lihthanke piirmääraga.“</w:t>
      </w:r>
    </w:p>
    <w:p w:rsidR="43E936BB" w:rsidRDefault="43E936BB" w14:paraId="4A588B38" w14:textId="39A5E2C0">
      <w:r w:rsidR="43E936BB">
        <w:rPr/>
        <w:t>3. Muudatuste rakendamisel tuleb teha vastavad ja sisult kooskõlalised muudatused ka teistes seaduse sätetes, mis reguleerivad või viitavad võrgustikusektori ettevõtetele kohaldatavale piirmäärale, mis on väiksem kui rahvusvaheline piirmäär.</w:t>
      </w:r>
    </w:p>
    <w:p w:rsidR="0053457F" w:rsidP="05DC9FD6" w:rsidRDefault="46B244D6" w14:paraId="741287B8" w14:textId="24F6EA7A">
      <w:pPr>
        <w:jc w:val="both"/>
      </w:pPr>
      <w:r>
        <w:t>Usume, et selline muudatus toetab riigi strateegilisi eesmärke ning loob õiglasema ja tõhusama ärikeskkonna kõigile turuosalistele.</w:t>
      </w:r>
    </w:p>
    <w:p w:rsidR="0053457F" w:rsidRDefault="0053457F" w14:paraId="4728856F" w14:textId="0ACB3096"/>
    <w:p w:rsidR="2D9DD19B" w:rsidP="607BA9AD" w:rsidRDefault="2D9DD19B" w14:paraId="512DB979" w14:textId="390D6319">
      <w:pPr>
        <w:rPr>
          <w:i/>
          <w:iCs/>
        </w:rPr>
      </w:pPr>
      <w:r w:rsidRPr="164C6CA5" w:rsidR="2D9DD19B">
        <w:rPr>
          <w:i w:val="1"/>
          <w:iCs w:val="1"/>
        </w:rPr>
        <w:t>Allkirjastatud digitaa</w:t>
      </w:r>
      <w:r w:rsidRPr="164C6CA5" w:rsidR="5E880B44">
        <w:rPr>
          <w:i w:val="1"/>
          <w:iCs w:val="1"/>
        </w:rPr>
        <w:t>l</w:t>
      </w:r>
      <w:r w:rsidRPr="164C6CA5" w:rsidR="2D9DD19B">
        <w:rPr>
          <w:i w:val="1"/>
          <w:iCs w:val="1"/>
        </w:rPr>
        <w:t>selt</w:t>
      </w:r>
    </w:p>
    <w:p w:rsidR="4431892E" w:rsidP="164C6CA5" w:rsidRDefault="4431892E" w14:paraId="1E1C6E28" w14:textId="3C02B5B6">
      <w:pPr>
        <w:pStyle w:val="Normal"/>
        <w:rPr>
          <w:b w:val="1"/>
          <w:bCs w:val="1"/>
        </w:rPr>
      </w:pPr>
      <w:r w:rsidRPr="164C6CA5" w:rsidR="5E08B601">
        <w:rPr>
          <w:b w:val="1"/>
          <w:bCs w:val="1"/>
        </w:rPr>
        <w:t>Aktsiaselts Eesti Post</w:t>
      </w:r>
    </w:p>
    <w:p w:rsidR="4431892E" w:rsidP="164C6CA5" w:rsidRDefault="4431892E" w14:paraId="0CB660D7" w14:textId="09A72276">
      <w:pPr>
        <w:pStyle w:val="Normal"/>
      </w:pPr>
      <w:r w:rsidRPr="164C6CA5" w:rsidR="5E08B601">
        <w:rPr>
          <w:b w:val="1"/>
          <w:bCs w:val="1"/>
        </w:rPr>
        <w:t>Aktsiaselts Eesti Raudtee</w:t>
      </w:r>
    </w:p>
    <w:p w:rsidR="4431892E" w:rsidP="164C6CA5" w:rsidRDefault="4431892E" w14:paraId="738EBE30" w14:textId="642E7584">
      <w:pPr>
        <w:pStyle w:val="Normal"/>
      </w:pPr>
      <w:r w:rsidRPr="164C6CA5" w:rsidR="5E08B601">
        <w:rPr>
          <w:b w:val="1"/>
          <w:bCs w:val="1"/>
        </w:rPr>
        <w:t>Aktsiaselts Tallinna Lennujaam</w:t>
      </w:r>
    </w:p>
    <w:p w:rsidR="4431892E" w:rsidP="164C6CA5" w:rsidRDefault="4431892E" w14:paraId="6C1949CD" w14:textId="3506FFF1">
      <w:pPr>
        <w:pStyle w:val="Normal"/>
      </w:pPr>
      <w:r w:rsidRPr="164C6CA5" w:rsidR="5E08B601">
        <w:rPr>
          <w:b w:val="1"/>
          <w:bCs w:val="1"/>
        </w:rPr>
        <w:t>Aktsiaselts Tallinna Linnatransport</w:t>
      </w:r>
    </w:p>
    <w:p w:rsidR="4431892E" w:rsidP="164C6CA5" w:rsidRDefault="4431892E" w14:paraId="1557E92E" w14:textId="07EF4463">
      <w:pPr>
        <w:pStyle w:val="Normal"/>
      </w:pPr>
      <w:r w:rsidRPr="164C6CA5" w:rsidR="5E08B601">
        <w:rPr>
          <w:b w:val="1"/>
          <w:bCs w:val="1"/>
        </w:rPr>
        <w:t>Aktsiaselts Tallinna Sadam</w:t>
      </w:r>
    </w:p>
    <w:p w:rsidR="4431892E" w:rsidP="164C6CA5" w:rsidRDefault="4431892E" w14:paraId="1089B9DF" w14:textId="78C800E7">
      <w:pPr>
        <w:pStyle w:val="Normal"/>
      </w:pPr>
      <w:r w:rsidRPr="164C6CA5" w:rsidR="268CA0CD">
        <w:rPr>
          <w:b w:val="1"/>
          <w:bCs w:val="1"/>
        </w:rPr>
        <w:t>Aktsiaselts Tallinna Vesi</w:t>
      </w:r>
    </w:p>
    <w:p w:rsidR="4431892E" w:rsidP="164C6CA5" w:rsidRDefault="4431892E" w14:paraId="0E1E3A82" w14:textId="66EA09B5">
      <w:pPr>
        <w:pStyle w:val="Normal"/>
      </w:pPr>
      <w:r w:rsidRPr="164C6CA5" w:rsidR="5E08B601">
        <w:rPr>
          <w:b w:val="1"/>
          <w:bCs w:val="1"/>
        </w:rPr>
        <w:t>Elering AS</w:t>
      </w:r>
    </w:p>
    <w:p w:rsidR="4431892E" w:rsidP="164C6CA5" w:rsidRDefault="4431892E" w14:paraId="1A1E4CD3" w14:textId="08014A5A">
      <w:pPr>
        <w:pStyle w:val="Normal"/>
      </w:pPr>
      <w:r w:rsidRPr="164C6CA5" w:rsidR="5E08B601">
        <w:rPr>
          <w:b w:val="1"/>
          <w:bCs w:val="1"/>
        </w:rPr>
        <w:t>Eesti Energia AS</w:t>
      </w:r>
    </w:p>
    <w:p w:rsidR="4431892E" w:rsidP="164C6CA5" w:rsidRDefault="4431892E" w14:paraId="7173F31A" w14:textId="6F9D0E08">
      <w:pPr>
        <w:pStyle w:val="Normal"/>
      </w:pPr>
      <w:r w:rsidRPr="164C6CA5" w:rsidR="5E08B601">
        <w:rPr>
          <w:b w:val="1"/>
          <w:bCs w:val="1"/>
        </w:rPr>
        <w:t>Lennuliiklusteeninduse Aktsiaselts</w:t>
      </w:r>
    </w:p>
    <w:p w:rsidR="4431892E" w:rsidP="164C6CA5" w:rsidRDefault="4431892E" w14:paraId="79114DD6" w14:textId="794EE582">
      <w:pPr>
        <w:pStyle w:val="Normal"/>
        <w:rPr>
          <w:b w:val="1"/>
          <w:bCs w:val="1"/>
        </w:rPr>
      </w:pPr>
    </w:p>
    <w:sectPr w:rsidR="4431892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38f6a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2949A04"/>
    <w:multiLevelType w:val="hybridMultilevel"/>
    <w:tmpl w:val="FFFFFFFF"/>
    <w:lvl w:ilvl="0" w:tplc="64DE2534">
      <w:start w:val="1"/>
      <w:numFmt w:val="bullet"/>
      <w:lvlText w:val=""/>
      <w:lvlJc w:val="left"/>
      <w:pPr>
        <w:ind w:left="360" w:hanging="360"/>
      </w:pPr>
      <w:rPr>
        <w:rFonts w:hint="default" w:ascii="Symbol" w:hAnsi="Symbol"/>
      </w:rPr>
    </w:lvl>
    <w:lvl w:ilvl="1" w:tplc="BBB6E536">
      <w:start w:val="1"/>
      <w:numFmt w:val="bullet"/>
      <w:lvlText w:val="o"/>
      <w:lvlJc w:val="left"/>
      <w:pPr>
        <w:ind w:left="1080" w:hanging="360"/>
      </w:pPr>
      <w:rPr>
        <w:rFonts w:hint="default" w:ascii="Courier New" w:hAnsi="Courier New"/>
      </w:rPr>
    </w:lvl>
    <w:lvl w:ilvl="2" w:tplc="F1EA6262">
      <w:start w:val="1"/>
      <w:numFmt w:val="bullet"/>
      <w:lvlText w:val=""/>
      <w:lvlJc w:val="left"/>
      <w:pPr>
        <w:ind w:left="1800" w:hanging="360"/>
      </w:pPr>
      <w:rPr>
        <w:rFonts w:hint="default" w:ascii="Wingdings" w:hAnsi="Wingdings"/>
      </w:rPr>
    </w:lvl>
    <w:lvl w:ilvl="3" w:tplc="A504F42E">
      <w:start w:val="1"/>
      <w:numFmt w:val="bullet"/>
      <w:lvlText w:val=""/>
      <w:lvlJc w:val="left"/>
      <w:pPr>
        <w:ind w:left="2520" w:hanging="360"/>
      </w:pPr>
      <w:rPr>
        <w:rFonts w:hint="default" w:ascii="Symbol" w:hAnsi="Symbol"/>
      </w:rPr>
    </w:lvl>
    <w:lvl w:ilvl="4" w:tplc="396415B6">
      <w:start w:val="1"/>
      <w:numFmt w:val="bullet"/>
      <w:lvlText w:val="o"/>
      <w:lvlJc w:val="left"/>
      <w:pPr>
        <w:ind w:left="3240" w:hanging="360"/>
      </w:pPr>
      <w:rPr>
        <w:rFonts w:hint="default" w:ascii="Courier New" w:hAnsi="Courier New"/>
      </w:rPr>
    </w:lvl>
    <w:lvl w:ilvl="5" w:tplc="66845274">
      <w:start w:val="1"/>
      <w:numFmt w:val="bullet"/>
      <w:lvlText w:val=""/>
      <w:lvlJc w:val="left"/>
      <w:pPr>
        <w:ind w:left="3960" w:hanging="360"/>
      </w:pPr>
      <w:rPr>
        <w:rFonts w:hint="default" w:ascii="Wingdings" w:hAnsi="Wingdings"/>
      </w:rPr>
    </w:lvl>
    <w:lvl w:ilvl="6" w:tplc="B7DC0862">
      <w:start w:val="1"/>
      <w:numFmt w:val="bullet"/>
      <w:lvlText w:val=""/>
      <w:lvlJc w:val="left"/>
      <w:pPr>
        <w:ind w:left="4680" w:hanging="360"/>
      </w:pPr>
      <w:rPr>
        <w:rFonts w:hint="default" w:ascii="Symbol" w:hAnsi="Symbol"/>
      </w:rPr>
    </w:lvl>
    <w:lvl w:ilvl="7" w:tplc="ED267FFC">
      <w:start w:val="1"/>
      <w:numFmt w:val="bullet"/>
      <w:lvlText w:val="o"/>
      <w:lvlJc w:val="left"/>
      <w:pPr>
        <w:ind w:left="5400" w:hanging="360"/>
      </w:pPr>
      <w:rPr>
        <w:rFonts w:hint="default" w:ascii="Courier New" w:hAnsi="Courier New"/>
      </w:rPr>
    </w:lvl>
    <w:lvl w:ilvl="8" w:tplc="8F90093A">
      <w:start w:val="1"/>
      <w:numFmt w:val="bullet"/>
      <w:lvlText w:val=""/>
      <w:lvlJc w:val="left"/>
      <w:pPr>
        <w:ind w:left="6120" w:hanging="360"/>
      </w:pPr>
      <w:rPr>
        <w:rFonts w:hint="default" w:ascii="Wingdings" w:hAnsi="Wingdings"/>
      </w:rPr>
    </w:lvl>
  </w:abstractNum>
  <w:num w:numId="2">
    <w:abstractNumId w:val="1"/>
  </w:num>
  <w:num w:numId="1" w16cid:durableId="12082267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3234CA"/>
    <w:rsid w:val="0053457F"/>
    <w:rsid w:val="006E06EA"/>
    <w:rsid w:val="045F96F0"/>
    <w:rsid w:val="05DC9FD6"/>
    <w:rsid w:val="069063A2"/>
    <w:rsid w:val="06933843"/>
    <w:rsid w:val="069CD88C"/>
    <w:rsid w:val="06BA26C3"/>
    <w:rsid w:val="07F2DA74"/>
    <w:rsid w:val="08246CA4"/>
    <w:rsid w:val="0A8272FE"/>
    <w:rsid w:val="0CE3F044"/>
    <w:rsid w:val="0D37984D"/>
    <w:rsid w:val="0F37B46C"/>
    <w:rsid w:val="0FC005D1"/>
    <w:rsid w:val="0FCE7152"/>
    <w:rsid w:val="134E0065"/>
    <w:rsid w:val="1478CC3A"/>
    <w:rsid w:val="15972B66"/>
    <w:rsid w:val="164C6CA5"/>
    <w:rsid w:val="1A0D4C1D"/>
    <w:rsid w:val="1B558DE6"/>
    <w:rsid w:val="1C3B211D"/>
    <w:rsid w:val="1DC4F249"/>
    <w:rsid w:val="215CE6B5"/>
    <w:rsid w:val="22346B58"/>
    <w:rsid w:val="22C8DFBC"/>
    <w:rsid w:val="22EEF8F2"/>
    <w:rsid w:val="259B4B42"/>
    <w:rsid w:val="268CA0CD"/>
    <w:rsid w:val="27FF3AC5"/>
    <w:rsid w:val="283CD9AA"/>
    <w:rsid w:val="2845DD44"/>
    <w:rsid w:val="2C138095"/>
    <w:rsid w:val="2C229CFE"/>
    <w:rsid w:val="2D9DD19B"/>
    <w:rsid w:val="2DF104FC"/>
    <w:rsid w:val="2E4615E6"/>
    <w:rsid w:val="2EB0CD4D"/>
    <w:rsid w:val="2F307E54"/>
    <w:rsid w:val="2F86E266"/>
    <w:rsid w:val="31070C83"/>
    <w:rsid w:val="36F6203E"/>
    <w:rsid w:val="387CD172"/>
    <w:rsid w:val="3DAAFB1E"/>
    <w:rsid w:val="3DF80F75"/>
    <w:rsid w:val="403234CA"/>
    <w:rsid w:val="43E936BB"/>
    <w:rsid w:val="4431892E"/>
    <w:rsid w:val="4469DC3A"/>
    <w:rsid w:val="45431AE5"/>
    <w:rsid w:val="46B244D6"/>
    <w:rsid w:val="49BB8E22"/>
    <w:rsid w:val="49ECCC16"/>
    <w:rsid w:val="4A6CA6CB"/>
    <w:rsid w:val="4B725D1F"/>
    <w:rsid w:val="4E6CB000"/>
    <w:rsid w:val="50869165"/>
    <w:rsid w:val="5212172C"/>
    <w:rsid w:val="52E531C6"/>
    <w:rsid w:val="532A0442"/>
    <w:rsid w:val="53978ED7"/>
    <w:rsid w:val="5557225C"/>
    <w:rsid w:val="56CFB3C9"/>
    <w:rsid w:val="5A05B471"/>
    <w:rsid w:val="5A11B130"/>
    <w:rsid w:val="5A321E39"/>
    <w:rsid w:val="5BF6578E"/>
    <w:rsid w:val="5E08B601"/>
    <w:rsid w:val="5E0EE32F"/>
    <w:rsid w:val="5E880B44"/>
    <w:rsid w:val="5EAB69B7"/>
    <w:rsid w:val="607BA9AD"/>
    <w:rsid w:val="620CC2C6"/>
    <w:rsid w:val="6409EA5C"/>
    <w:rsid w:val="6439FA02"/>
    <w:rsid w:val="6545C3B1"/>
    <w:rsid w:val="655B2810"/>
    <w:rsid w:val="65A8E96C"/>
    <w:rsid w:val="66184998"/>
    <w:rsid w:val="6693827E"/>
    <w:rsid w:val="669E1D2E"/>
    <w:rsid w:val="66B3F9E7"/>
    <w:rsid w:val="68E6C2C6"/>
    <w:rsid w:val="6977D6F2"/>
    <w:rsid w:val="69CDE9B4"/>
    <w:rsid w:val="6B7C91A7"/>
    <w:rsid w:val="6ED25520"/>
    <w:rsid w:val="6EFE0F4F"/>
    <w:rsid w:val="6F5A74F6"/>
    <w:rsid w:val="721CBD17"/>
    <w:rsid w:val="7233CFC7"/>
    <w:rsid w:val="7314CD67"/>
    <w:rsid w:val="734FA100"/>
    <w:rsid w:val="7392B8A5"/>
    <w:rsid w:val="7D7B3E8A"/>
    <w:rsid w:val="7E868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03234CA"/>
  <w15:chartTrackingRefBased/>
  <w15:docId w15:val="{A30C61C2-8C47-45D1-9A79-D95FE60CEA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5DC9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Triin Reisner</dc:creator>
  <keywords/>
  <dc:description/>
  <lastModifiedBy>Kaarle Karp</lastModifiedBy>
  <revision>2</revision>
  <dcterms:created xsi:type="dcterms:W3CDTF">2025-09-04T06:50:00.0000000Z</dcterms:created>
  <dcterms:modified xsi:type="dcterms:W3CDTF">2025-09-08T11:50:21.3161687Z</dcterms:modified>
</coreProperties>
</file>